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喀拉托海镇文教</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pStyle w:val="5"/>
        <w:spacing w:line="360" w:lineRule="auto"/>
        <w:ind w:firstLine="544" w:firstLineChars="200"/>
        <w:rPr>
          <w:rStyle w:val="16"/>
          <w:rFonts w:hint="eastAsia" w:ascii="仿宋_GB2312" w:hAnsi="楷体" w:eastAsia="仿宋_GB2312" w:cs="Times New Roman"/>
          <w:b w:val="0"/>
          <w:bCs/>
          <w:spacing w:val="-4"/>
          <w:kern w:val="2"/>
          <w:sz w:val="28"/>
          <w:szCs w:val="28"/>
          <w:lang w:val="en-US" w:eastAsia="zh-CN" w:bidi="ar-SA"/>
        </w:rPr>
      </w:pPr>
      <w:r>
        <w:rPr>
          <w:rStyle w:val="16"/>
          <w:rFonts w:hint="eastAsia" w:ascii="仿宋_GB2312" w:hAnsi="楷体" w:eastAsia="仿宋_GB2312" w:cs="Times New Roman"/>
          <w:b w:val="0"/>
          <w:bCs/>
          <w:spacing w:val="-4"/>
          <w:kern w:val="2"/>
          <w:sz w:val="28"/>
          <w:szCs w:val="28"/>
          <w:lang w:val="en-US" w:eastAsia="zh-CN" w:bidi="ar-SA"/>
        </w:rPr>
        <w:t xml:space="preserve"> （一）宣传贯彻党的路线、方针、政策，坚持正确的办学方向。</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（二）负责党的理论教育研讨工作，指导干部学习党的理论，培养合格的党员干部。</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（三）编制学校教学计划，管理，协调教育活动，开展教学情况。</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 xml:space="preserve">（四）完成全校交办的其他工作。 </w:t>
      </w:r>
      <w:bookmarkStart w:id="4" w:name="_Toc70450292"/>
    </w:p>
    <w:p>
      <w:pPr>
        <w:widowControl/>
        <w:ind w:firstLine="640"/>
        <w:jc w:val="left"/>
        <w:rPr>
          <w:rStyle w:val="16"/>
          <w:rFonts w:hint="eastAsia" w:ascii="仿宋" w:hAnsi="仿宋" w:eastAsia="仿宋" w:cstheme="minorBidi"/>
          <w:kern w:val="2"/>
          <w:sz w:val="28"/>
          <w:szCs w:val="28"/>
          <w:lang w:val="en-US" w:eastAsia="zh-CN" w:bidi="ar-SA"/>
        </w:rPr>
      </w:pPr>
      <w:r>
        <w:rPr>
          <w:rStyle w:val="16"/>
          <w:rFonts w:hint="eastAsia" w:ascii="仿宋" w:hAnsi="仿宋" w:eastAsia="仿宋" w:cstheme="minorBidi"/>
          <w:kern w:val="2"/>
          <w:sz w:val="28"/>
          <w:szCs w:val="28"/>
          <w:lang w:val="en-US" w:eastAsia="zh-CN" w:bidi="ar-SA"/>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喀拉托海镇文教无下属预算单位，下设 7 个处室，分别是：办公室、教务处、政教处、团委、总务处、工会、党建办。</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（2）2021年喀拉托海镇文教实有在职人员为256人，其中：</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行政在职0人（上年0人），与上年一致；</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事业在职人员256人（上年222人），比上年增加34人。</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实有离休人员0人（上年0人）,与上年一致。</w:t>
      </w:r>
    </w:p>
    <w:p>
      <w:pPr>
        <w:widowControl/>
        <w:ind w:firstLine="640"/>
        <w:jc w:val="left"/>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实有退休人员95人（上年94人）, 同比上年增加1 人。</w:t>
      </w:r>
    </w:p>
    <w:p>
      <w:pPr>
        <w:pStyle w:val="5"/>
        <w:numPr>
          <w:ilvl w:val="0"/>
          <w:numId w:val="1"/>
        </w:numPr>
        <w:spacing w:line="360" w:lineRule="auto"/>
        <w:ind w:firstLine="562" w:firstLineChars="200"/>
        <w:rPr>
          <w:rStyle w:val="16"/>
          <w:rFonts w:hint="eastAsia" w:ascii="仿宋" w:hAnsi="仿宋" w:eastAsia="仿宋"/>
          <w:b/>
          <w:bCs/>
        </w:rPr>
      </w:pPr>
      <w:bookmarkStart w:id="5" w:name="_Toc70450293"/>
      <w:r>
        <w:rPr>
          <w:rStyle w:val="16"/>
          <w:rFonts w:hint="eastAsia" w:ascii="仿宋" w:hAnsi="仿宋" w:eastAsia="仿宋"/>
          <w:b/>
          <w:bCs/>
        </w:rPr>
        <w:t>重点工作计划</w:t>
      </w:r>
      <w:bookmarkEnd w:id="5"/>
    </w:p>
    <w:p>
      <w:pPr>
        <w:numPr>
          <w:ilvl w:val="0"/>
          <w:numId w:val="0"/>
        </w:numPr>
        <w:spacing w:line="360" w:lineRule="auto"/>
        <w:ind w:firstLine="544" w:firstLineChars="200"/>
        <w:rPr>
          <w:rStyle w:val="16"/>
          <w:rFonts w:hint="eastAsia" w:ascii="仿宋_GB2312" w:hAnsi="楷体" w:eastAsia="仿宋_GB2312" w:cs="Times New Roman"/>
          <w:b w:val="0"/>
          <w:bCs w:val="0"/>
          <w:color w:val="auto"/>
          <w:spacing w:val="-4"/>
          <w:sz w:val="28"/>
          <w:szCs w:val="28"/>
          <w:lang w:val="en-US" w:eastAsia="zh-CN"/>
        </w:rPr>
      </w:pPr>
      <w:r>
        <w:rPr>
          <w:rStyle w:val="16"/>
          <w:rFonts w:hint="eastAsia" w:ascii="仿宋_GB2312" w:hAnsi="楷体" w:eastAsia="仿宋_GB2312" w:cs="Times New Roman"/>
          <w:b w:val="0"/>
          <w:bCs w:val="0"/>
          <w:color w:val="auto"/>
          <w:spacing w:val="-4"/>
          <w:sz w:val="28"/>
          <w:szCs w:val="28"/>
          <w:lang w:val="en-US" w:eastAsia="zh-CN"/>
        </w:rPr>
        <w:t>（1）全面推进各类教师能力提升培训，加强教师队伍建设，好教育教学管理工作。</w:t>
      </w:r>
    </w:p>
    <w:p>
      <w:pPr>
        <w:numPr>
          <w:ilvl w:val="0"/>
          <w:numId w:val="0"/>
        </w:numPr>
        <w:spacing w:line="360" w:lineRule="auto"/>
        <w:ind w:firstLine="544" w:firstLineChars="200"/>
        <w:rPr>
          <w:rStyle w:val="16"/>
          <w:rFonts w:hint="default" w:ascii="仿宋_GB2312" w:hAnsi="楷体" w:eastAsia="仿宋_GB2312" w:cs="Times New Roman"/>
          <w:b w:val="0"/>
          <w:bCs w:val="0"/>
          <w:color w:val="auto"/>
          <w:spacing w:val="-4"/>
          <w:sz w:val="28"/>
          <w:szCs w:val="28"/>
          <w:lang w:val="en-US" w:eastAsia="zh-CN"/>
        </w:rPr>
      </w:pPr>
      <w:r>
        <w:rPr>
          <w:rStyle w:val="16"/>
          <w:rFonts w:hint="eastAsia" w:ascii="仿宋_GB2312" w:hAnsi="楷体" w:eastAsia="仿宋_GB2312" w:cs="Times New Roman"/>
          <w:b w:val="0"/>
          <w:bCs w:val="0"/>
          <w:color w:val="auto"/>
          <w:spacing w:val="-4"/>
          <w:sz w:val="28"/>
          <w:szCs w:val="28"/>
          <w:lang w:val="en-US" w:eastAsia="zh-CN"/>
        </w:rPr>
        <w:t>（2）确保人员经费的合理分配。</w:t>
      </w:r>
    </w:p>
    <w:p>
      <w:pPr>
        <w:numPr>
          <w:ilvl w:val="0"/>
          <w:numId w:val="0"/>
        </w:numPr>
        <w:spacing w:line="360" w:lineRule="auto"/>
        <w:ind w:firstLine="544" w:firstLineChars="200"/>
        <w:rPr>
          <w:rStyle w:val="16"/>
          <w:rFonts w:hint="default" w:ascii="仿宋_GB2312" w:hAnsi="楷体" w:eastAsia="仿宋_GB2312" w:cs="Times New Roman"/>
          <w:b w:val="0"/>
          <w:bCs w:val="0"/>
          <w:color w:val="auto"/>
          <w:spacing w:val="-4"/>
          <w:sz w:val="28"/>
          <w:szCs w:val="28"/>
          <w:lang w:val="en-US" w:eastAsia="zh-CN"/>
        </w:rPr>
      </w:pPr>
      <w:r>
        <w:rPr>
          <w:rStyle w:val="16"/>
          <w:rFonts w:hint="eastAsia" w:ascii="仿宋_GB2312" w:hAnsi="楷体" w:eastAsia="仿宋_GB2312" w:cs="Times New Roman"/>
          <w:b w:val="0"/>
          <w:bCs w:val="0"/>
          <w:color w:val="auto"/>
          <w:spacing w:val="-4"/>
          <w:sz w:val="28"/>
          <w:szCs w:val="28"/>
          <w:lang w:val="en-US" w:eastAsia="zh-CN"/>
        </w:rPr>
        <w:t>（3）完成在职教师工资发放、按时完成社保、公积金缴纳。</w:t>
      </w:r>
    </w:p>
    <w:p>
      <w:pPr>
        <w:numPr>
          <w:ilvl w:val="0"/>
          <w:numId w:val="0"/>
        </w:numPr>
        <w:spacing w:line="360" w:lineRule="auto"/>
        <w:ind w:firstLine="544" w:firstLineChars="200"/>
        <w:rPr>
          <w:rStyle w:val="16"/>
          <w:rFonts w:hint="default" w:ascii="仿宋_GB2312" w:hAnsi="楷体" w:eastAsia="仿宋_GB2312" w:cs="Times New Roman"/>
          <w:b w:val="0"/>
          <w:bCs w:val="0"/>
          <w:color w:val="auto"/>
          <w:spacing w:val="-4"/>
          <w:sz w:val="28"/>
          <w:szCs w:val="28"/>
          <w:lang w:val="en-US" w:eastAsia="zh-CN"/>
        </w:rPr>
      </w:pPr>
      <w:r>
        <w:rPr>
          <w:rStyle w:val="16"/>
          <w:rFonts w:hint="eastAsia" w:ascii="仿宋_GB2312" w:hAnsi="楷体" w:eastAsia="仿宋_GB2312" w:cs="Times New Roman"/>
          <w:b w:val="0"/>
          <w:bCs w:val="0"/>
          <w:color w:val="auto"/>
          <w:spacing w:val="-4"/>
          <w:sz w:val="28"/>
          <w:szCs w:val="28"/>
          <w:lang w:val="en-US" w:eastAsia="zh-CN"/>
        </w:rPr>
        <w:t>（4）及时完成退休教师取暖费、计生奖励金目发放。</w:t>
      </w:r>
    </w:p>
    <w:p>
      <w:pPr>
        <w:numPr>
          <w:ilvl w:val="0"/>
          <w:numId w:val="0"/>
        </w:numPr>
        <w:spacing w:line="360" w:lineRule="auto"/>
        <w:ind w:firstLine="544" w:firstLineChars="200"/>
        <w:rPr>
          <w:rStyle w:val="16"/>
          <w:rFonts w:hint="default" w:ascii="仿宋_GB2312" w:hAnsi="楷体" w:eastAsia="仿宋_GB2312"/>
          <w:b w:val="0"/>
          <w:bCs w:val="0"/>
          <w:color w:val="FF0000"/>
          <w:spacing w:val="-4"/>
          <w:sz w:val="28"/>
          <w:szCs w:val="28"/>
          <w:lang w:val="en-US" w:eastAsia="zh-CN"/>
        </w:rPr>
      </w:pPr>
      <w:r>
        <w:rPr>
          <w:rStyle w:val="16"/>
          <w:rFonts w:hint="eastAsia" w:ascii="仿宋_GB2312" w:hAnsi="楷体" w:eastAsia="仿宋_GB2312" w:cs="Times New Roman"/>
          <w:b w:val="0"/>
          <w:bCs w:val="0"/>
          <w:color w:val="auto"/>
          <w:spacing w:val="-4"/>
          <w:sz w:val="28"/>
          <w:szCs w:val="28"/>
          <w:lang w:val="en-US" w:eastAsia="zh-CN"/>
        </w:rPr>
        <w:t>（5）完成每年教学任务。</w:t>
      </w:r>
      <w:r>
        <w:rPr>
          <w:rStyle w:val="16"/>
          <w:rFonts w:hint="eastAsia" w:ascii="仿宋_GB2312" w:hAnsi="楷体" w:eastAsia="仿宋_GB2312"/>
          <w:b w:val="0"/>
          <w:bCs w:val="0"/>
          <w:color w:val="auto"/>
          <w:spacing w:val="-4"/>
          <w:sz w:val="28"/>
          <w:szCs w:val="28"/>
          <w:lang w:eastAsia="zh-CN"/>
        </w:rPr>
        <w:t>全</w:t>
      </w:r>
      <w:r>
        <w:rPr>
          <w:rStyle w:val="16"/>
          <w:rFonts w:hint="eastAsia" w:ascii="仿宋_GB2312" w:hAnsi="楷体" w:eastAsia="仿宋_GB2312"/>
          <w:b w:val="0"/>
          <w:bCs w:val="0"/>
          <w:color w:val="auto"/>
          <w:spacing w:val="-4"/>
          <w:sz w:val="28"/>
          <w:szCs w:val="28"/>
        </w:rPr>
        <w:t>面推进各类教师能力提升培训，加强教师队伍建设。</w:t>
      </w:r>
      <w:r>
        <w:rPr>
          <w:rStyle w:val="16"/>
          <w:rFonts w:hint="eastAsia" w:ascii="仿宋_GB2312" w:hAnsi="楷体" w:eastAsia="仿宋_GB2312"/>
          <w:b w:val="0"/>
          <w:bCs w:val="0"/>
          <w:color w:val="auto"/>
          <w:spacing w:val="-4"/>
          <w:sz w:val="28"/>
          <w:szCs w:val="28"/>
          <w:lang w:eastAsia="zh-CN"/>
        </w:rPr>
        <w:t>完成好</w:t>
      </w:r>
      <w:r>
        <w:rPr>
          <w:rStyle w:val="16"/>
          <w:rFonts w:hint="eastAsia" w:ascii="仿宋_GB2312" w:hAnsi="楷体" w:eastAsia="仿宋_GB2312"/>
          <w:b w:val="0"/>
          <w:bCs w:val="0"/>
          <w:color w:val="auto"/>
          <w:spacing w:val="-4"/>
          <w:sz w:val="28"/>
          <w:szCs w:val="28"/>
        </w:rPr>
        <w:t>教育教学管理工作。</w:t>
      </w: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2021年批复我单位预算为</w:t>
      </w:r>
      <w:r>
        <w:rPr>
          <w:rStyle w:val="16"/>
          <w:rFonts w:hint="eastAsia" w:ascii="仿宋_GB2312" w:hAnsi="楷体" w:eastAsia="仿宋_GB2312"/>
          <w:b w:val="0"/>
          <w:spacing w:val="-4"/>
          <w:sz w:val="28"/>
          <w:szCs w:val="28"/>
          <w:lang w:val="en-US" w:eastAsia="zh-CN"/>
        </w:rPr>
        <w:t>3928.34</w:t>
      </w:r>
      <w:r>
        <w:rPr>
          <w:rStyle w:val="16"/>
          <w:rFonts w:hint="eastAsia" w:ascii="仿宋_GB2312" w:hAnsi="楷体" w:eastAsia="仿宋_GB2312"/>
          <w:b w:val="0"/>
          <w:spacing w:val="-4"/>
          <w:sz w:val="28"/>
          <w:szCs w:val="28"/>
        </w:rPr>
        <w:t>万元，其中：财政拨款为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3928.34</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年中追加资金</w:t>
      </w:r>
      <w:r>
        <w:rPr>
          <w:rStyle w:val="16"/>
          <w:rFonts w:hint="eastAsia" w:ascii="仿宋_GB2312" w:hAnsi="楷体" w:eastAsia="仿宋_GB2312"/>
          <w:b w:val="0"/>
          <w:spacing w:val="-4"/>
          <w:sz w:val="28"/>
          <w:szCs w:val="28"/>
          <w:lang w:val="en-US" w:eastAsia="zh-CN"/>
        </w:rPr>
        <w:t>1524.01</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调整率63.39%，</w:t>
      </w:r>
      <w:r>
        <w:rPr>
          <w:rStyle w:val="16"/>
          <w:rFonts w:hint="eastAsia" w:ascii="仿宋_GB2312" w:hAnsi="楷体" w:eastAsia="仿宋_GB2312"/>
          <w:b w:val="0"/>
          <w:spacing w:val="-4"/>
          <w:sz w:val="28"/>
          <w:szCs w:val="28"/>
        </w:rPr>
        <w:t>对比上年</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3573.88</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354.46</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9.92</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3928.34</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 xml:space="preserve">100 </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3928.34</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％，主要用于本</w:t>
      </w:r>
      <w:r>
        <w:rPr>
          <w:rStyle w:val="16"/>
          <w:rFonts w:hint="eastAsia" w:ascii="仿宋_GB2312" w:hAnsi="楷体" w:eastAsia="仿宋_GB2312" w:cs="Times New Roman"/>
          <w:b w:val="0"/>
          <w:spacing w:val="-4"/>
          <w:sz w:val="28"/>
          <w:szCs w:val="28"/>
        </w:rPr>
        <w:t>单位机构正常运转、完成日常工作任务而发生的各项支出。其中：工资福</w:t>
      </w:r>
      <w:r>
        <w:rPr>
          <w:rStyle w:val="16"/>
          <w:rFonts w:hint="eastAsia" w:ascii="仿宋_GB2312" w:hAnsi="楷体" w:eastAsia="仿宋_GB2312"/>
          <w:b w:val="0"/>
          <w:spacing w:val="-4"/>
          <w:sz w:val="28"/>
          <w:szCs w:val="28"/>
        </w:rPr>
        <w:t>利支出</w:t>
      </w:r>
      <w:r>
        <w:rPr>
          <w:rStyle w:val="16"/>
          <w:rFonts w:hint="eastAsia" w:ascii="仿宋_GB2312" w:hAnsi="楷体" w:eastAsia="仿宋_GB2312"/>
          <w:b w:val="0"/>
          <w:spacing w:val="-4"/>
          <w:sz w:val="28"/>
          <w:szCs w:val="28"/>
          <w:lang w:val="en-US" w:eastAsia="zh-CN"/>
        </w:rPr>
        <w:t>3352.59</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448.32</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127.43</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退休费以及一次性抚恤金和生活补助</w:t>
      </w:r>
      <w:r>
        <w:rPr>
          <w:rStyle w:val="16"/>
          <w:rFonts w:hint="eastAsia" w:ascii="仿宋_GB2312" w:hAnsi="楷体" w:eastAsia="仿宋_GB2312"/>
          <w:b w:val="0"/>
          <w:spacing w:val="-4"/>
          <w:sz w:val="28"/>
          <w:szCs w:val="28"/>
        </w:rPr>
        <w:t>。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 xml:space="preserve">0 </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b w:val="0"/>
          <w:spacing w:val="-4"/>
          <w:sz w:val="28"/>
          <w:szCs w:val="28"/>
        </w:rPr>
        <w:t>（4）</w:t>
      </w:r>
      <w:r>
        <w:rPr>
          <w:rStyle w:val="16"/>
          <w:rFonts w:hint="eastAsia" w:ascii="仿宋_GB2312" w:hAnsi="楷体" w:eastAsia="仿宋_GB2312" w:cs="Times New Roman"/>
          <w:b w:val="0"/>
          <w:spacing w:val="-4"/>
          <w:sz w:val="28"/>
          <w:szCs w:val="28"/>
        </w:rPr>
        <w:t>本年度我单位无政府采购预算</w:t>
      </w:r>
      <w:r>
        <w:rPr>
          <w:rStyle w:val="16"/>
          <w:rFonts w:hint="eastAsia" w:ascii="仿宋_GB2312" w:hAnsi="楷体" w:eastAsia="仿宋_GB2312" w:cs="Times New Roman"/>
          <w:b w:val="0"/>
          <w:spacing w:val="-4"/>
          <w:sz w:val="28"/>
          <w:szCs w:val="28"/>
          <w:lang w:val="en-US"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pageBreakBefore w:val="0"/>
        <w:kinsoku/>
        <w:wordWrap/>
        <w:overflowPunct/>
        <w:topLinePunct w:val="0"/>
        <w:autoSpaceDE/>
        <w:autoSpaceDN/>
        <w:bidi w:val="0"/>
        <w:adjustRightInd/>
        <w:spacing w:line="560" w:lineRule="exact"/>
        <w:ind w:firstLine="560" w:firstLineChars="200"/>
        <w:rPr>
          <w:rStyle w:val="16"/>
          <w:rFonts w:hint="eastAsia" w:ascii="仿宋_GB2312" w:eastAsia="仿宋_GB2312"/>
          <w:b w:val="0"/>
          <w:bCs w:val="0"/>
          <w:sz w:val="28"/>
          <w:szCs w:val="36"/>
          <w:lang w:eastAsia="zh-CN"/>
        </w:rPr>
      </w:pPr>
      <w:r>
        <w:rPr>
          <w:rStyle w:val="16"/>
          <w:rFonts w:hint="eastAsia" w:ascii="仿宋_GB2312" w:eastAsia="仿宋_GB2312"/>
          <w:b w:val="0"/>
          <w:bCs w:val="0"/>
          <w:sz w:val="28"/>
          <w:szCs w:val="36"/>
          <w:lang w:val="en-US" w:eastAsia="zh-CN"/>
        </w:rPr>
        <w:t>(一）</w:t>
      </w:r>
      <w:r>
        <w:rPr>
          <w:rStyle w:val="16"/>
          <w:rFonts w:hint="eastAsia" w:ascii="仿宋_GB2312" w:eastAsia="仿宋_GB2312"/>
          <w:b w:val="0"/>
          <w:bCs w:val="0"/>
          <w:sz w:val="28"/>
          <w:szCs w:val="36"/>
        </w:rPr>
        <w:t>本次</w:t>
      </w:r>
      <w:r>
        <w:rPr>
          <w:rStyle w:val="16"/>
          <w:rFonts w:hint="eastAsia" w:ascii="仿宋_GB2312" w:eastAsia="仿宋_GB2312"/>
          <w:b w:val="0"/>
          <w:bCs w:val="0"/>
          <w:sz w:val="28"/>
          <w:szCs w:val="36"/>
          <w:lang w:eastAsia="zh-CN"/>
        </w:rPr>
        <w:t>单位整体</w:t>
      </w:r>
      <w:r>
        <w:rPr>
          <w:rStyle w:val="16"/>
          <w:rFonts w:hint="eastAsia" w:ascii="仿宋_GB2312" w:eastAsia="仿宋_GB2312"/>
          <w:b w:val="0"/>
          <w:bCs w:val="0"/>
          <w:sz w:val="28"/>
          <w:szCs w:val="36"/>
        </w:rPr>
        <w:t>支出绩效自评采用</w:t>
      </w:r>
      <w:r>
        <w:rPr>
          <w:rStyle w:val="16"/>
          <w:rFonts w:hint="eastAsia" w:ascii="仿宋_GB2312" w:eastAsia="仿宋_GB2312"/>
          <w:b w:val="0"/>
          <w:bCs w:val="0"/>
          <w:sz w:val="28"/>
          <w:szCs w:val="36"/>
          <w:lang w:eastAsia="zh-CN"/>
        </w:rPr>
        <w:t>因素分析法</w:t>
      </w:r>
      <w:r>
        <w:rPr>
          <w:rStyle w:val="16"/>
          <w:rFonts w:hint="eastAsia" w:ascii="仿宋_GB2312" w:eastAsia="仿宋_GB2312"/>
          <w:b w:val="0"/>
          <w:bCs w:val="0"/>
          <w:sz w:val="28"/>
          <w:szCs w:val="36"/>
        </w:rPr>
        <w:t>方法，原因是：</w:t>
      </w:r>
      <w:r>
        <w:rPr>
          <w:rStyle w:val="16"/>
          <w:rFonts w:hint="eastAsia" w:ascii="仿宋_GB2312" w:eastAsia="仿宋_GB2312"/>
          <w:b w:val="0"/>
          <w:bCs w:val="0"/>
          <w:sz w:val="28"/>
          <w:szCs w:val="36"/>
          <w:lang w:val="en-US" w:eastAsia="zh-CN"/>
        </w:rPr>
        <w:t>特克斯县喀拉托海镇文教</w:t>
      </w:r>
      <w:r>
        <w:rPr>
          <w:rStyle w:val="16"/>
          <w:rFonts w:hint="eastAsia" w:ascii="仿宋_GB2312" w:eastAsia="仿宋_GB2312"/>
          <w:b w:val="0"/>
          <w:bCs w:val="0"/>
          <w:sz w:val="28"/>
          <w:szCs w:val="36"/>
          <w:lang w:eastAsia="zh-CN"/>
        </w:rPr>
        <w:t>从数量上确定各因素对分析指标影响方向和影响程度一种方法，运用因素分析法应注意因素关联性、顺序性。</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喀拉托海镇文教</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widowControl/>
        <w:spacing w:line="520" w:lineRule="atLeast"/>
        <w:ind w:left="160" w:firstLine="643"/>
        <w:jc w:val="left"/>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3928.34</w:t>
      </w:r>
      <w:r>
        <w:rPr>
          <w:rStyle w:val="16"/>
          <w:rFonts w:hint="eastAsia" w:ascii="仿宋_GB2312" w:hAnsi="楷体" w:eastAsia="仿宋_GB2312"/>
          <w:b w:val="0"/>
          <w:spacing w:val="-4"/>
          <w:sz w:val="28"/>
          <w:szCs w:val="28"/>
        </w:rPr>
        <w:t>万元，其中：工资福利支出，商品和服务支出，对个人和家庭的补助，其他资本性支出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w:t>
      </w:r>
      <w:r>
        <w:rPr>
          <w:rStyle w:val="16"/>
          <w:rFonts w:hint="eastAsia" w:ascii="仿宋_GB2312" w:hAnsi="楷体" w:eastAsia="仿宋_GB2312"/>
          <w:b w:val="0"/>
          <w:spacing w:val="-4"/>
          <w:sz w:val="28"/>
          <w:szCs w:val="28"/>
          <w:lang w:val="en-US" w:eastAsia="zh-CN"/>
        </w:rPr>
        <w:t>元</w:t>
      </w:r>
      <w:r>
        <w:rPr>
          <w:rStyle w:val="16"/>
          <w:rFonts w:hint="eastAsia" w:ascii="仿宋_GB2312" w:hAnsi="楷体" w:eastAsia="仿宋_GB2312"/>
          <w:b w:val="0"/>
          <w:spacing w:val="-4"/>
          <w:sz w:val="28"/>
          <w:szCs w:val="28"/>
        </w:rPr>
        <w:t>。</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60" w:firstLineChars="200"/>
        <w:rPr>
          <w:rStyle w:val="16"/>
          <w:rFonts w:ascii="仿宋_GB2312" w:hAnsi="楷体" w:eastAsia="仿宋_GB2312"/>
          <w:b w:val="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w:t>
      </w:r>
      <w:r>
        <w:rPr>
          <w:rStyle w:val="16"/>
          <w:rFonts w:hint="eastAsia" w:ascii="仿宋_GB2312" w:hAnsi="楷体" w:eastAsia="仿宋_GB2312"/>
          <w:b w:val="0"/>
          <w:spacing w:val="-4"/>
          <w:sz w:val="28"/>
          <w:szCs w:val="28"/>
        </w:rPr>
        <w:t>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p>
    <w:p>
      <w:pPr>
        <w:spacing w:line="360" w:lineRule="auto"/>
        <w:ind w:firstLine="494" w:firstLineChars="181"/>
        <w:rPr>
          <w:rStyle w:val="16"/>
          <w:rFonts w:asciiTheme="minorEastAsia" w:hAnsiTheme="minorEastAsia"/>
          <w:color w:val="FF0000"/>
          <w:spacing w:val="-4"/>
          <w:sz w:val="28"/>
          <w:szCs w:val="28"/>
        </w:rPr>
      </w:pP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bookmarkStart w:id="14" w:name="_Toc70450301"/>
      <w:r>
        <w:rPr>
          <w:rStyle w:val="16"/>
          <w:rFonts w:hint="eastAsia" w:ascii="仿宋_GB2312" w:hAnsi="楷体" w:eastAsia="仿宋_GB2312"/>
          <w:b w:val="0"/>
          <w:spacing w:val="-4"/>
          <w:sz w:val="28"/>
          <w:szCs w:val="28"/>
          <w:lang w:eastAsia="zh-CN"/>
        </w:rPr>
        <w:t>特克斯县喀拉托海镇文教</w:t>
      </w:r>
      <w:r>
        <w:rPr>
          <w:rStyle w:val="16"/>
          <w:rFonts w:hint="eastAsia" w:ascii="仿宋_GB2312" w:hAnsi="楷体" w:eastAsia="仿宋_GB2312"/>
          <w:b w:val="0"/>
          <w:spacing w:val="-4"/>
          <w:sz w:val="28"/>
          <w:szCs w:val="28"/>
        </w:rPr>
        <w:t>按照财政要求基本支出分月度申报资金使用计划，由财政部门按照进度每月按期拨付，人员支出按照工资计划发放工资；依照</w:t>
      </w:r>
      <w:r>
        <w:rPr>
          <w:rStyle w:val="16"/>
          <w:rFonts w:hint="eastAsia" w:ascii="仿宋_GB2312" w:hAnsi="楷体" w:eastAsia="仿宋_GB2312"/>
          <w:b w:val="0"/>
          <w:spacing w:val="-4"/>
          <w:sz w:val="28"/>
          <w:szCs w:val="28"/>
          <w:lang w:eastAsia="zh-CN"/>
        </w:rPr>
        <w:t>特克斯县喀拉托海镇文教</w:t>
      </w:r>
      <w:r>
        <w:rPr>
          <w:rStyle w:val="16"/>
          <w:rFonts w:hint="eastAsia" w:ascii="仿宋_GB2312" w:hAnsi="楷体" w:eastAsia="仿宋_GB2312"/>
          <w:b w:val="0"/>
          <w:spacing w:val="-4"/>
          <w:sz w:val="28"/>
          <w:szCs w:val="28"/>
        </w:rPr>
        <w:t>《财务管理制度》相关规定和</w:t>
      </w:r>
      <w:r>
        <w:rPr>
          <w:rStyle w:val="16"/>
          <w:rFonts w:hint="eastAsia" w:ascii="仿宋_GB2312" w:hAnsi="楷体" w:eastAsia="仿宋_GB2312"/>
          <w:b w:val="0"/>
          <w:spacing w:val="-4"/>
          <w:sz w:val="28"/>
          <w:szCs w:val="28"/>
          <w:lang w:eastAsia="zh-CN"/>
        </w:rPr>
        <w:t>特克斯县喀拉托海镇文教</w:t>
      </w:r>
      <w:r>
        <w:rPr>
          <w:rStyle w:val="16"/>
          <w:rFonts w:hint="eastAsia" w:ascii="仿宋_GB2312" w:hAnsi="楷体" w:eastAsia="仿宋_GB2312"/>
          <w:b w:val="0"/>
          <w:spacing w:val="-4"/>
          <w:sz w:val="28"/>
          <w:szCs w:val="28"/>
        </w:rPr>
        <w:t>《财务管理制度》规定流程，资金支出按照我内控体系中设定的流程申报审批进行；项目支出属于政府采购的，按照局</w:t>
      </w:r>
      <w:r>
        <w:rPr>
          <w:rStyle w:val="16"/>
          <w:rFonts w:hint="eastAsia" w:ascii="仿宋_GB2312" w:hAnsi="楷体" w:eastAsia="仿宋_GB2312"/>
          <w:b w:val="0"/>
          <w:spacing w:val="-4"/>
          <w:sz w:val="28"/>
          <w:szCs w:val="28"/>
          <w:lang w:eastAsia="zh-CN"/>
        </w:rPr>
        <w:t>特克斯县喀拉托海镇文教</w:t>
      </w:r>
      <w:r>
        <w:rPr>
          <w:rStyle w:val="16"/>
          <w:rFonts w:hint="eastAsia" w:ascii="仿宋_GB2312" w:hAnsi="楷体" w:eastAsia="仿宋_GB2312"/>
          <w:b w:val="0"/>
          <w:spacing w:val="-4"/>
          <w:sz w:val="28"/>
          <w:szCs w:val="28"/>
        </w:rPr>
        <w:t>《政府采购与招标管理办法》组织人员制定采购计划，按照财政局采购部门批复，进行公开招标、邀请招标等方式进行；属于非政府采购的项目，按照“三重一大”制度规定，重大项目支出上党组会研究决定。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3928.34</w:t>
      </w:r>
      <w:r>
        <w:rPr>
          <w:rStyle w:val="16"/>
          <w:rFonts w:hint="eastAsia" w:ascii="仿宋_GB2312" w:hAnsi="楷体" w:eastAsia="仿宋_GB2312"/>
          <w:b w:val="0"/>
          <w:spacing w:val="-4"/>
          <w:sz w:val="28"/>
          <w:szCs w:val="28"/>
        </w:rPr>
        <w:t>万元，实际到位</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3928.34</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3928.34</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3352.59</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448.32</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127.43</w:t>
      </w:r>
      <w:r>
        <w:rPr>
          <w:rStyle w:val="16"/>
          <w:rFonts w:hint="eastAsia" w:ascii="仿宋_GB2312" w:hAnsi="楷体" w:eastAsia="仿宋_GB2312"/>
          <w:b w:val="0"/>
          <w:spacing w:val="-4"/>
          <w:sz w:val="28"/>
          <w:szCs w:val="28"/>
        </w:rPr>
        <w:t>万元、主要用于日常工作运转开支,包括人员的工资福利支出、商品和服务支出、对个人和家庭的补助支出、对企事业单位的补贴及其他资本性支出等。资本性支出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3573.88万元，</w:t>
      </w:r>
      <w:r>
        <w:rPr>
          <w:rStyle w:val="16"/>
          <w:rFonts w:hint="eastAsia" w:ascii="仿宋_GB2312" w:hAnsi="楷体" w:eastAsia="仿宋_GB2312"/>
          <w:b w:val="0"/>
          <w:spacing w:val="-4"/>
          <w:sz w:val="28"/>
          <w:szCs w:val="28"/>
        </w:rPr>
        <w:t>增加</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354.46</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9.92</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w:t>
      </w:r>
      <w:r>
        <w:rPr>
          <w:rStyle w:val="16"/>
          <w:rFonts w:hint="eastAsia" w:ascii="仿宋_GB2312" w:hAnsi="楷体" w:eastAsia="仿宋_GB2312" w:cs="Times New Roman"/>
          <w:b w:val="0"/>
          <w:spacing w:val="-4"/>
          <w:sz w:val="28"/>
          <w:szCs w:val="28"/>
        </w:rPr>
        <w:t>主要原因是</w:t>
      </w:r>
      <w:r>
        <w:rPr>
          <w:rStyle w:val="16"/>
          <w:rFonts w:hint="eastAsia" w:ascii="仿宋_GB2312" w:hAnsi="楷体" w:eastAsia="仿宋_GB2312"/>
          <w:b w:val="0"/>
          <w:spacing w:val="-4"/>
          <w:sz w:val="28"/>
          <w:szCs w:val="28"/>
          <w:lang w:eastAsia="zh-CN"/>
        </w:rPr>
        <w:t>人员调整，特岗入编，</w:t>
      </w:r>
      <w:r>
        <w:rPr>
          <w:rStyle w:val="16"/>
          <w:rFonts w:hint="eastAsia" w:ascii="仿宋_GB2312" w:hAnsi="楷体" w:eastAsia="仿宋_GB2312"/>
          <w:b w:val="0"/>
          <w:spacing w:val="-4"/>
          <w:sz w:val="28"/>
          <w:szCs w:val="28"/>
        </w:rPr>
        <w:t>人数增加，兑现了部分人员职称工资</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2021年3月绩效调标</w:t>
      </w:r>
      <w:r>
        <w:rPr>
          <w:rStyle w:val="16"/>
          <w:rFonts w:hint="eastAsia" w:ascii="仿宋_GB2312" w:hAnsi="楷体" w:eastAsia="仿宋_GB2312"/>
          <w:b w:val="0"/>
          <w:spacing w:val="-4"/>
          <w:sz w:val="28"/>
          <w:szCs w:val="28"/>
          <w:lang w:eastAsia="zh-CN"/>
        </w:rPr>
        <w:t>，发放</w:t>
      </w:r>
      <w:r>
        <w:rPr>
          <w:rStyle w:val="16"/>
          <w:rFonts w:hint="eastAsia" w:ascii="仿宋_GB2312" w:hAnsi="楷体" w:eastAsia="仿宋_GB2312"/>
          <w:b w:val="0"/>
          <w:spacing w:val="-4"/>
          <w:sz w:val="28"/>
          <w:szCs w:val="28"/>
          <w:lang w:val="en-US" w:eastAsia="zh-CN"/>
        </w:rPr>
        <w:t>2018年.2020年绩效奖金及2020年综合治理奖</w:t>
      </w:r>
      <w:r>
        <w:rPr>
          <w:rStyle w:val="16"/>
          <w:rFonts w:hint="eastAsia" w:ascii="仿宋_GB2312" w:hAnsi="楷体" w:eastAsia="仿宋_GB2312" w:cs="Times New Roman"/>
          <w:b w:val="0"/>
          <w:spacing w:val="-4"/>
          <w:sz w:val="28"/>
          <w:szCs w:val="28"/>
          <w:lang w:eastAsia="zh-CN"/>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 </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主要原因是：2021年我单位未安排三公经费预算；公务用车购置费为0</w:t>
      </w:r>
      <w:r>
        <w:rPr>
          <w:rStyle w:val="16"/>
          <w:rFonts w:hint="eastAsia" w:ascii="仿宋_GB2312" w:hAnsi="楷体" w:eastAsia="仿宋_GB2312"/>
          <w:b w:val="0"/>
          <w:spacing w:val="-4"/>
          <w:sz w:val="28"/>
          <w:szCs w:val="28"/>
          <w:lang w:eastAsia="zh-CN"/>
        </w:rPr>
        <w:t>万元</w:t>
      </w:r>
      <w:r>
        <w:rPr>
          <w:rStyle w:val="16"/>
          <w:rFonts w:hint="eastAsia" w:ascii="仿宋_GB2312" w:hAnsi="楷体" w:eastAsia="仿宋_GB2312"/>
          <w:b w:val="0"/>
          <w:spacing w:val="-4"/>
          <w:sz w:val="28"/>
          <w:szCs w:val="28"/>
        </w:rPr>
        <w:t>，主要原因是</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2021年我单位未安排预算。公务用车运行费增加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2021年我单位未安排预算；公务接待费增加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Fonts w:hint="eastAsia"/>
        </w:rPr>
        <w:t xml:space="preserve"> </w:t>
      </w:r>
      <w:r>
        <w:rPr>
          <w:rStyle w:val="16"/>
          <w:rFonts w:hint="eastAsia" w:ascii="仿宋_GB2312" w:hAnsi="楷体" w:eastAsia="仿宋_GB2312"/>
          <w:b w:val="0"/>
          <w:spacing w:val="-4"/>
          <w:sz w:val="28"/>
          <w:szCs w:val="28"/>
        </w:rPr>
        <w:t>到位率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％,其中:中央转移支付项目资金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万元，本级安排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 xml:space="preserve">0 </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val="en-US" w:eastAsia="zh-CN"/>
        </w:rPr>
        <w:t>本单位未安排专项资金</w:t>
      </w:r>
      <w:r>
        <w:rPr>
          <w:rStyle w:val="16"/>
          <w:rFonts w:hint="eastAsia" w:ascii="仿宋_GB2312" w:hAnsi="楷体" w:eastAsia="仿宋_GB2312"/>
          <w:b w:val="0"/>
          <w:spacing w:val="-4"/>
          <w:sz w:val="28"/>
          <w:szCs w:val="28"/>
        </w:rPr>
        <w:t>。</w:t>
      </w:r>
    </w:p>
    <w:p>
      <w:pPr>
        <w:pStyle w:val="5"/>
        <w:tabs>
          <w:tab w:val="left" w:pos="386"/>
        </w:tabs>
        <w:spacing w:line="360" w:lineRule="auto"/>
        <w:ind w:firstLine="562" w:firstLineChars="200"/>
        <w:rPr>
          <w:rStyle w:val="16"/>
          <w:rFonts w:hint="eastAsia"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2021年我单位未安排专项资金管理。</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w:t>
      </w:r>
      <w:r>
        <w:rPr>
          <w:rStyle w:val="16"/>
          <w:rFonts w:hint="eastAsia" w:ascii="仿宋_GB2312" w:hAnsi="楷体" w:eastAsia="仿宋_GB2312"/>
          <w:b w:val="0"/>
          <w:spacing w:val="-4"/>
          <w:sz w:val="28"/>
          <w:szCs w:val="28"/>
          <w:highlight w:val="none"/>
          <w:lang w:eastAsia="zh-CN"/>
        </w:rPr>
        <w:t>特克斯县喀拉托海镇文教</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w:t>
      </w:r>
      <w:r>
        <w:rPr>
          <w:rStyle w:val="16"/>
          <w:rFonts w:hint="eastAsia" w:ascii="仿宋_GB2312" w:hAnsi="楷体" w:eastAsia="仿宋_GB2312"/>
          <w:b w:val="0"/>
          <w:spacing w:val="-4"/>
          <w:sz w:val="28"/>
          <w:szCs w:val="28"/>
          <w:highlight w:val="none"/>
          <w:lang w:eastAsia="zh-CN"/>
        </w:rPr>
        <w:t>特克斯县喀拉托海镇文教</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w:t>
      </w:r>
      <w:r>
        <w:rPr>
          <w:rStyle w:val="16"/>
          <w:rFonts w:hint="eastAsia" w:ascii="仿宋_GB2312" w:hAnsi="楷体" w:eastAsia="仿宋_GB2312"/>
          <w:b w:val="0"/>
          <w:spacing w:val="-4"/>
          <w:sz w:val="28"/>
          <w:szCs w:val="28"/>
          <w:highlight w:val="none"/>
          <w:lang w:eastAsia="zh-CN"/>
        </w:rPr>
        <w:t>特克斯县喀拉托海镇文教</w:t>
      </w:r>
      <w:r>
        <w:rPr>
          <w:rStyle w:val="16"/>
          <w:rFonts w:hint="eastAsia" w:ascii="仿宋_GB2312" w:hAnsi="楷体" w:eastAsia="仿宋_GB2312"/>
          <w:b w:val="0"/>
          <w:spacing w:val="-4"/>
          <w:sz w:val="28"/>
          <w:szCs w:val="28"/>
          <w:highlight w:val="none"/>
        </w:rPr>
        <w:t>项目实施方案，确保项目顺利进行。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w:t>
      </w:r>
      <w:r>
        <w:rPr>
          <w:rStyle w:val="16"/>
          <w:rFonts w:hint="eastAsia" w:ascii="仿宋_GB2312" w:hAnsi="楷体" w:eastAsia="仿宋_GB2312"/>
          <w:b w:val="0"/>
          <w:spacing w:val="-4"/>
          <w:sz w:val="28"/>
          <w:szCs w:val="28"/>
          <w:highlight w:val="none"/>
          <w:lang w:eastAsia="zh-CN"/>
        </w:rPr>
        <w:t>特克斯县喀拉托海镇文教</w:t>
      </w:r>
      <w:r>
        <w:rPr>
          <w:rStyle w:val="16"/>
          <w:rFonts w:hint="eastAsia" w:ascii="仿宋_GB2312" w:hAnsi="楷体" w:eastAsia="仿宋_GB2312"/>
          <w:b w:val="0"/>
          <w:spacing w:val="-4"/>
          <w:sz w:val="28"/>
          <w:szCs w:val="28"/>
          <w:highlight w:val="none"/>
        </w:rPr>
        <w:t>项目验收，确保项目顺利进行。</w:t>
      </w:r>
    </w:p>
    <w:p>
      <w:pPr>
        <w:spacing w:line="360" w:lineRule="auto"/>
        <w:ind w:firstLine="492" w:firstLineChars="181"/>
        <w:rPr>
          <w:rFonts w:hint="eastAsia"/>
        </w:rPr>
      </w:pPr>
      <w:r>
        <w:rPr>
          <w:rStyle w:val="16"/>
          <w:rFonts w:hint="eastAsia" w:ascii="仿宋_GB2312" w:hAnsi="楷体" w:eastAsia="仿宋_GB2312"/>
          <w:b w:val="0"/>
          <w:spacing w:val="-4"/>
          <w:sz w:val="28"/>
          <w:szCs w:val="28"/>
          <w:highlight w:val="none"/>
        </w:rPr>
        <w:t>专项资金涉及政府采购项目的，按照局《</w:t>
      </w:r>
      <w:r>
        <w:rPr>
          <w:rStyle w:val="16"/>
          <w:rFonts w:hint="eastAsia" w:ascii="仿宋_GB2312" w:hAnsi="楷体" w:eastAsia="仿宋_GB2312"/>
          <w:b w:val="0"/>
          <w:spacing w:val="-4"/>
          <w:sz w:val="28"/>
          <w:szCs w:val="28"/>
          <w:highlight w:val="none"/>
          <w:lang w:eastAsia="zh-CN"/>
        </w:rPr>
        <w:t>特克斯县喀拉托海镇文教</w:t>
      </w:r>
      <w:r>
        <w:rPr>
          <w:rStyle w:val="16"/>
          <w:rFonts w:hint="eastAsia" w:ascii="仿宋_GB2312" w:hAnsi="楷体" w:eastAsia="仿宋_GB2312"/>
          <w:b w:val="0"/>
          <w:spacing w:val="-4"/>
          <w:sz w:val="28"/>
          <w:szCs w:val="28"/>
          <w:highlight w:val="none"/>
        </w:rPr>
        <w:t>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年我单位资产总额</w:t>
      </w:r>
      <w:r>
        <w:rPr>
          <w:rStyle w:val="16"/>
          <w:rFonts w:hint="eastAsia" w:ascii="仿宋_GB2312" w:hAnsi="宋体" w:eastAsia="仿宋_GB2312"/>
          <w:b w:val="0"/>
          <w:bCs w:val="0"/>
          <w:spacing w:val="-4"/>
          <w:sz w:val="28"/>
          <w:szCs w:val="28"/>
          <w:lang w:val="en-US" w:eastAsia="zh-CN"/>
        </w:rPr>
        <w:t>1493.37</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，固定资产净值</w:t>
      </w:r>
      <w:r>
        <w:rPr>
          <w:rStyle w:val="16"/>
          <w:rFonts w:hint="eastAsia" w:ascii="仿宋_GB2312" w:hAnsi="宋体" w:eastAsia="仿宋_GB2312"/>
          <w:b w:val="0"/>
          <w:bCs w:val="0"/>
          <w:spacing w:val="-4"/>
          <w:sz w:val="28"/>
          <w:szCs w:val="28"/>
          <w:lang w:val="en-US" w:eastAsia="zh-CN"/>
        </w:rPr>
        <w:t>1493.37</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1103.21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73.87</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175.6</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11.76</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69.89</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4.7</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144.67万元，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9.67</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万元，比上年增加（减少）</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本单位没有流动资产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1493.37</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11.03</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专用设备和通用设备增加</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1493.37</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w:t>
      </w:r>
      <w:r>
        <w:rPr>
          <w:rStyle w:val="16"/>
          <w:rFonts w:hint="eastAsia" w:ascii="仿宋_GB2312" w:hAnsi="宋体" w:eastAsia="仿宋_GB2312"/>
          <w:b w:val="0"/>
          <w:color w:val="auto"/>
          <w:spacing w:val="-4"/>
          <w:sz w:val="28"/>
          <w:szCs w:val="28"/>
          <w:lang w:val="en-US" w:eastAsia="zh-CN"/>
        </w:rPr>
        <w:t>学期进行</w:t>
      </w:r>
      <w:r>
        <w:rPr>
          <w:rStyle w:val="16"/>
          <w:rFonts w:hint="eastAsia" w:ascii="仿宋_GB2312" w:hAnsi="宋体" w:eastAsia="仿宋_GB2312"/>
          <w:b w:val="0"/>
          <w:color w:val="auto"/>
          <w:spacing w:val="-4"/>
          <w:sz w:val="28"/>
          <w:szCs w:val="28"/>
        </w:rPr>
        <w:t>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color w:val="auto"/>
          <w:sz w:val="36"/>
          <w:szCs w:val="36"/>
          <w:lang w:bidi="ar"/>
        </w:rPr>
      </w:pPr>
      <w:bookmarkStart w:id="23" w:name="_Toc70450313"/>
      <w:r>
        <w:rPr>
          <w:rFonts w:hint="eastAsia" w:ascii="仿宋" w:hAnsi="仿宋" w:eastAsia="仿宋"/>
          <w:color w:val="auto"/>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2404.33</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354.46</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3928.34</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hint="eastAsia" w:ascii="仿宋_GB2312" w:hAnsi="宋体" w:eastAsia="仿宋_GB2312" w:cstheme="minorBidi"/>
          <w:b w:val="0"/>
          <w:bCs w:val="0"/>
          <w:spacing w:val="-4"/>
          <w:kern w:val="2"/>
          <w:sz w:val="28"/>
          <w:szCs w:val="28"/>
          <w:lang w:val="en-US" w:eastAsia="zh-CN" w:bidi="ar-SA"/>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hint="eastAsia" w:ascii="仿宋_GB2312" w:hAnsi="宋体" w:eastAsia="仿宋_GB2312"/>
          <w:b w:val="0"/>
          <w:bCs w:val="0"/>
          <w:spacing w:val="-4"/>
          <w:sz w:val="28"/>
          <w:szCs w:val="28"/>
        </w:rPr>
      </w:pPr>
      <w:bookmarkStart w:id="26" w:name="_Toc70450316"/>
      <w:r>
        <w:rPr>
          <w:rStyle w:val="16"/>
          <w:rFonts w:hint="eastAsia" w:ascii="仿宋_GB2312" w:hAnsi="宋体" w:eastAsia="仿宋_GB2312"/>
          <w:b w:val="0"/>
          <w:bCs w:val="0"/>
          <w:spacing w:val="-4"/>
          <w:sz w:val="28"/>
          <w:szCs w:val="28"/>
        </w:rPr>
        <w:t>2021年，在特克斯县人民政府的大力支持和教育局党委的正确领导下，特克斯县</w:t>
      </w:r>
      <w:r>
        <w:rPr>
          <w:rStyle w:val="16"/>
          <w:rFonts w:hint="eastAsia" w:ascii="仿宋_GB2312" w:hAnsi="宋体" w:eastAsia="仿宋_GB2312"/>
          <w:b w:val="0"/>
          <w:bCs w:val="0"/>
          <w:spacing w:val="-4"/>
          <w:sz w:val="28"/>
          <w:szCs w:val="28"/>
          <w:lang w:val="en-US" w:eastAsia="zh-CN"/>
        </w:rPr>
        <w:t>喀拉托海镇文教</w:t>
      </w:r>
      <w:r>
        <w:rPr>
          <w:rStyle w:val="16"/>
          <w:rFonts w:hint="eastAsia" w:ascii="仿宋_GB2312" w:hAnsi="宋体" w:eastAsia="仿宋_GB2312"/>
          <w:b w:val="0"/>
          <w:bCs w:val="0"/>
          <w:spacing w:val="-4"/>
          <w:sz w:val="28"/>
          <w:szCs w:val="28"/>
        </w:rPr>
        <w:t>迎难而上、务实重干，积极推动各项教育工作取得了新的进展，为促进经济持续健康发展与社会和谐稳定提供了有力的教育支撑和保障。</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pPr>
        <w:spacing w:line="360" w:lineRule="auto"/>
        <w:ind w:firstLine="544" w:firstLineChars="200"/>
        <w:rPr>
          <w:rStyle w:val="16"/>
          <w:rFonts w:hint="eastAsia" w:ascii="仿宋_GB2312" w:eastAsia="仿宋_GB2312" w:hAnsiTheme="minorEastAsia"/>
          <w:b w:val="0"/>
          <w:spacing w:val="-4"/>
          <w:sz w:val="28"/>
          <w:szCs w:val="28"/>
          <w:lang w:val="en-US" w:eastAsia="zh-CN"/>
        </w:rPr>
      </w:pPr>
      <w:r>
        <w:rPr>
          <w:rStyle w:val="16"/>
          <w:rFonts w:hint="eastAsia" w:ascii="仿宋_GB2312" w:hAnsi="宋体" w:eastAsia="仿宋_GB2312"/>
          <w:b w:val="0"/>
          <w:bCs w:val="0"/>
          <w:color w:val="auto"/>
          <w:spacing w:val="-4"/>
          <w:sz w:val="28"/>
          <w:szCs w:val="28"/>
        </w:rPr>
        <w:t>特克斯县</w:t>
      </w:r>
      <w:r>
        <w:rPr>
          <w:rStyle w:val="16"/>
          <w:rFonts w:hint="eastAsia" w:ascii="仿宋_GB2312" w:hAnsi="宋体" w:eastAsia="仿宋_GB2312"/>
          <w:b w:val="0"/>
          <w:bCs w:val="0"/>
          <w:color w:val="auto"/>
          <w:spacing w:val="-4"/>
          <w:sz w:val="28"/>
          <w:szCs w:val="28"/>
          <w:lang w:val="en-US" w:eastAsia="zh-CN"/>
        </w:rPr>
        <w:t>喀拉托海镇文教</w:t>
      </w:r>
      <w:r>
        <w:rPr>
          <w:rStyle w:val="16"/>
          <w:rFonts w:hint="eastAsia" w:ascii="仿宋_GB2312" w:hAnsi="宋体" w:eastAsia="仿宋_GB2312"/>
          <w:b w:val="0"/>
          <w:bCs w:val="0"/>
          <w:color w:val="auto"/>
          <w:spacing w:val="-4"/>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r>
        <w:rPr>
          <w:rStyle w:val="16"/>
          <w:rFonts w:hint="eastAsia" w:ascii="仿宋_GB2312" w:hAnsi="宋体" w:eastAsia="仿宋_GB2312"/>
          <w:b w:val="0"/>
          <w:bCs w:val="0"/>
          <w:color w:val="auto"/>
          <w:spacing w:val="-4"/>
          <w:sz w:val="28"/>
          <w:szCs w:val="28"/>
          <w:lang w:eastAsia="zh-CN"/>
        </w:rPr>
        <w:t>。</w:t>
      </w:r>
      <w:r>
        <w:rPr>
          <w:rStyle w:val="16"/>
          <w:rFonts w:hint="eastAsia" w:ascii="仿宋_GB2312" w:hAnsi="宋体" w:eastAsia="仿宋_GB2312"/>
          <w:b w:val="0"/>
          <w:bCs w:val="0"/>
          <w:color w:val="auto"/>
          <w:spacing w:val="-4"/>
          <w:sz w:val="28"/>
          <w:szCs w:val="28"/>
        </w:rPr>
        <w:t>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val="en-US" w:eastAsia="zh-CN"/>
        </w:rPr>
        <w:t>喀拉托海镇文教</w:t>
      </w:r>
      <w:r>
        <w:rPr>
          <w:rStyle w:val="16"/>
          <w:rFonts w:hint="eastAsia" w:ascii="仿宋_GB2312" w:eastAsia="仿宋_GB2312" w:hAnsiTheme="minorEastAsia"/>
          <w:b w:val="0"/>
          <w:spacing w:val="-4"/>
          <w:sz w:val="28"/>
          <w:szCs w:val="28"/>
        </w:rPr>
        <w:t xml:space="preserve">部门单位整体绩效目标共设置一级指标 </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 xml:space="preserve"> 个，二级指标 </w:t>
      </w:r>
      <w:r>
        <w:rPr>
          <w:rStyle w:val="16"/>
          <w:rFonts w:hint="eastAsia" w:ascii="仿宋_GB2312" w:eastAsia="仿宋_GB2312" w:hAnsiTheme="minorEastAsia"/>
          <w:b w:val="0"/>
          <w:spacing w:val="-4"/>
          <w:sz w:val="28"/>
          <w:szCs w:val="28"/>
          <w:lang w:val="en-US" w:eastAsia="zh-CN"/>
        </w:rPr>
        <w:t>6</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12</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指标1：在职人员数 ，指标值：</w:t>
      </w:r>
      <w:r>
        <w:rPr>
          <w:rStyle w:val="16"/>
          <w:rFonts w:hint="eastAsia" w:ascii="仿宋_GB2312" w:hAnsi="宋体" w:eastAsia="仿宋_GB2312"/>
          <w:b w:val="0"/>
          <w:spacing w:val="-4"/>
          <w:sz w:val="28"/>
          <w:szCs w:val="28"/>
          <w:lang w:val="en-US" w:eastAsia="zh-CN"/>
        </w:rPr>
        <w:t>=222人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lang w:val="en-US" w:eastAsia="zh-CN"/>
        </w:rPr>
        <w:t>222人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：退休人员数，指标值：</w:t>
      </w:r>
      <w:r>
        <w:rPr>
          <w:rStyle w:val="16"/>
          <w:rFonts w:hint="eastAsia" w:ascii="仿宋_GB2312" w:hAnsi="宋体" w:eastAsia="仿宋_GB2312"/>
          <w:b w:val="0"/>
          <w:spacing w:val="-4"/>
          <w:sz w:val="28"/>
          <w:szCs w:val="28"/>
          <w:lang w:val="en-US" w:eastAsia="zh-CN"/>
        </w:rPr>
        <w:t>=95人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95人</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指标1：人员工资发放、社保缴纳准确性 ，指标值：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指标1：人员工资发放、社保缴纳及时性，指标值：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指标1：工资、社保、住房等人均支出标准 ，指标值：≤10.74万元/人/年 ，实际完成值</w:t>
      </w:r>
      <w:r>
        <w:rPr>
          <w:rStyle w:val="16"/>
          <w:rFonts w:hint="eastAsia" w:ascii="仿宋_GB2312" w:hAnsi="宋体" w:eastAsia="仿宋_GB2312"/>
          <w:b w:val="0"/>
          <w:spacing w:val="-4"/>
          <w:sz w:val="28"/>
          <w:szCs w:val="28"/>
          <w:lang w:val="en-US" w:eastAsia="zh-CN"/>
        </w:rPr>
        <w:t>10.74</w:t>
      </w:r>
      <w:r>
        <w:rPr>
          <w:rStyle w:val="16"/>
          <w:rFonts w:hint="eastAsia" w:ascii="仿宋_GB2312" w:hAnsi="宋体" w:eastAsia="仿宋_GB2312"/>
          <w:b w:val="0"/>
          <w:spacing w:val="-4"/>
          <w:sz w:val="28"/>
          <w:szCs w:val="28"/>
        </w:rPr>
        <w:t>万元/人/年，指标完成率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：退休人员计生奖励人均支出标准，指标值：≤0.12万元/人/年，实际完成值：0.12万元/人/年，指标完成率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：取暖费人均支出标准，指标值：≤0.13万元/人/年，实际完成值：0.13万元/人/年，指标完成率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：遗属补助人均支出标准 ，指标值： ≤0</w:t>
      </w:r>
      <w:r>
        <w:rPr>
          <w:rStyle w:val="16"/>
          <w:rFonts w:hint="eastAsia" w:ascii="仿宋_GB2312" w:hAnsi="宋体" w:eastAsia="仿宋_GB2312"/>
          <w:b w:val="0"/>
          <w:spacing w:val="-4"/>
          <w:sz w:val="28"/>
          <w:szCs w:val="28"/>
          <w:lang w:val="en-US" w:eastAsia="zh-CN"/>
        </w:rPr>
        <w:t>.44</w:t>
      </w:r>
      <w:r>
        <w:rPr>
          <w:rStyle w:val="16"/>
          <w:rFonts w:hint="eastAsia" w:ascii="仿宋_GB2312" w:hAnsi="宋体" w:eastAsia="仿宋_GB2312"/>
          <w:b w:val="0"/>
          <w:spacing w:val="-4"/>
          <w:sz w:val="28"/>
          <w:szCs w:val="28"/>
        </w:rPr>
        <w:t>万元/人/年，实际完成值：0.</w:t>
      </w:r>
      <w:r>
        <w:rPr>
          <w:rStyle w:val="16"/>
          <w:rFonts w:hint="eastAsia" w:ascii="仿宋_GB2312" w:hAnsi="宋体" w:eastAsia="仿宋_GB2312"/>
          <w:b w:val="0"/>
          <w:spacing w:val="-4"/>
          <w:sz w:val="28"/>
          <w:szCs w:val="28"/>
          <w:lang w:val="en-US" w:eastAsia="zh-CN"/>
        </w:rPr>
        <w:t>44</w:t>
      </w:r>
      <w:r>
        <w:rPr>
          <w:rStyle w:val="16"/>
          <w:rFonts w:hint="eastAsia" w:ascii="仿宋_GB2312" w:hAnsi="宋体" w:eastAsia="仿宋_GB2312"/>
          <w:b w:val="0"/>
          <w:spacing w:val="-4"/>
          <w:sz w:val="28"/>
          <w:szCs w:val="28"/>
        </w:rPr>
        <w:t>万元/人/年，指标完成率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指标1：保证教学任务及时完成，指标值：有效保证，实际完成值：有效保证，指标完成率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：保证教师队伍稳定，指标值：有效保证，实际完成值：有效保证，指标完成率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指标1：教师满意度 ，指标值：≥95% ，实际完成值：95%，指标完成率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val="en-US" w:eastAsia="zh-CN"/>
        </w:rPr>
        <w:t>退休</w:t>
      </w:r>
      <w:r>
        <w:rPr>
          <w:rStyle w:val="16"/>
          <w:rFonts w:hint="eastAsia" w:ascii="仿宋_GB2312" w:hAnsi="宋体" w:eastAsia="仿宋_GB2312"/>
          <w:b w:val="0"/>
          <w:spacing w:val="-4"/>
          <w:sz w:val="28"/>
          <w:szCs w:val="28"/>
        </w:rPr>
        <w:t>教师满意度 ，指标值：≥95% ，实际完成值：95%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bookmarkStart w:id="33" w:name="_GoBack"/>
      <w:bookmarkEnd w:id="33"/>
    </w:p>
    <w:p>
      <w:pPr>
        <w:pStyle w:val="3"/>
        <w:numPr>
          <w:ilvl w:val="0"/>
          <w:numId w:val="3"/>
        </w:numPr>
        <w:spacing w:line="360" w:lineRule="auto"/>
        <w:rPr>
          <w:rFonts w:hint="eastAsia" w:ascii="仿宋" w:hAnsi="仿宋" w:eastAsia="仿宋"/>
          <w:sz w:val="36"/>
          <w:szCs w:val="36"/>
          <w:lang w:bidi="ar"/>
        </w:rPr>
      </w:pPr>
      <w:bookmarkStart w:id="27" w:name="_Toc70450317"/>
      <w:r>
        <w:rPr>
          <w:rFonts w:hint="eastAsia" w:ascii="仿宋" w:hAnsi="仿宋" w:eastAsia="仿宋"/>
          <w:sz w:val="36"/>
          <w:szCs w:val="36"/>
          <w:lang w:bidi="ar"/>
        </w:rPr>
        <w:t>存在的主要问题</w:t>
      </w:r>
      <w:bookmarkEnd w:id="27"/>
    </w:p>
    <w:p>
      <w:pPr>
        <w:spacing w:line="360" w:lineRule="auto"/>
        <w:ind w:firstLine="544" w:firstLineChars="200"/>
        <w:rPr>
          <w:rStyle w:val="16"/>
          <w:rFonts w:ascii="仿宋_GB2312" w:hAnsi="楷体" w:eastAsia="仿宋_GB2312"/>
          <w:b w:val="0"/>
          <w:spacing w:val="-4"/>
          <w:sz w:val="28"/>
          <w:szCs w:val="28"/>
        </w:rPr>
      </w:pPr>
      <w:bookmarkStart w:id="28" w:name="_Toc70450318"/>
      <w:r>
        <w:rPr>
          <w:rStyle w:val="16"/>
          <w:rFonts w:hint="eastAsia" w:ascii="仿宋_GB2312" w:hAnsi="楷体" w:eastAsia="仿宋_GB2312"/>
          <w:b w:val="0"/>
          <w:spacing w:val="-4"/>
          <w:sz w:val="28"/>
          <w:szCs w:val="28"/>
        </w:rPr>
        <w:t>1、预算绩效管理观念淡薄，缺乏主动性。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3、绩效型预算编制脱离实际，缺乏前瞻性。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ascii="仿宋_GB2312" w:eastAsia="仿宋_GB2312" w:hAnsiTheme="majorEastAsia"/>
          <w:sz w:val="32"/>
          <w:szCs w:val="32"/>
        </w:rPr>
      </w:pPr>
      <w:r>
        <w:rPr>
          <w:rStyle w:val="16"/>
          <w:rFonts w:hint="eastAsia" w:ascii="仿宋_GB2312" w:hAnsi="楷体" w:eastAsia="仿宋_GB2312"/>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numPr>
          <w:ilvl w:val="0"/>
          <w:numId w:val="3"/>
        </w:numPr>
        <w:spacing w:line="360" w:lineRule="auto"/>
        <w:ind w:left="0" w:leftChars="0" w:firstLine="0" w:firstLineChars="0"/>
        <w:rPr>
          <w:rFonts w:hint="eastAsia" w:ascii="仿宋" w:hAnsi="仿宋" w:eastAsia="仿宋"/>
          <w:sz w:val="36"/>
          <w:szCs w:val="36"/>
          <w:lang w:bidi="ar"/>
        </w:rPr>
      </w:pPr>
      <w:r>
        <w:rPr>
          <w:rFonts w:hint="eastAsia" w:ascii="仿宋" w:hAnsi="仿宋" w:eastAsia="仿宋"/>
          <w:sz w:val="36"/>
          <w:szCs w:val="36"/>
          <w:lang w:bidi="ar"/>
        </w:rPr>
        <w:t>改进措施和建议</w:t>
      </w:r>
      <w:bookmarkEnd w:id="28"/>
    </w:p>
    <w:p>
      <w:pPr>
        <w:pStyle w:val="4"/>
        <w:pageBreakBefore w:val="0"/>
        <w:kinsoku/>
        <w:wordWrap/>
        <w:overflowPunct/>
        <w:topLinePunct w:val="0"/>
        <w:autoSpaceDE/>
        <w:autoSpaceDN/>
        <w:bidi w:val="0"/>
        <w:adjustRightInd/>
        <w:spacing w:line="560" w:lineRule="exact"/>
        <w:ind w:firstLine="643" w:firstLineChars="200"/>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bookmarkStart w:id="30" w:name="_Toc70450320"/>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pageBreakBefore w:val="0"/>
        <w:kinsoku/>
        <w:wordWrap/>
        <w:overflowPunct/>
        <w:topLinePunct w:val="0"/>
        <w:autoSpaceDE/>
        <w:autoSpaceDN/>
        <w:bidi w:val="0"/>
        <w:adjustRightInd/>
        <w:spacing w:line="560" w:lineRule="exact"/>
        <w:ind w:firstLine="643" w:firstLineChars="200"/>
        <w:rPr>
          <w:rFonts w:hint="eastAsia" w:ascii="仿宋_GB2312" w:hAnsi="仿宋_GB2312" w:eastAsia="仿宋_GB2312" w:cs="仿宋_GB2312"/>
          <w:sz w:val="32"/>
          <w:szCs w:val="32"/>
        </w:rPr>
      </w:pPr>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r>
        <w:br w:type="page"/>
      </w:r>
    </w:p>
    <w:tbl>
      <w:tblPr>
        <w:tblStyle w:val="14"/>
        <w:tblW w:w="10258" w:type="dxa"/>
        <w:tblInd w:w="-989" w:type="dxa"/>
        <w:tblLayout w:type="fixed"/>
        <w:tblCellMar>
          <w:top w:w="0" w:type="dxa"/>
          <w:left w:w="108" w:type="dxa"/>
          <w:bottom w:w="0" w:type="dxa"/>
          <w:right w:w="108" w:type="dxa"/>
        </w:tblCellMar>
      </w:tblPr>
      <w:tblGrid>
        <w:gridCol w:w="793"/>
        <w:gridCol w:w="1201"/>
        <w:gridCol w:w="1486"/>
        <w:gridCol w:w="240"/>
        <w:gridCol w:w="936"/>
        <w:gridCol w:w="1035"/>
        <w:gridCol w:w="237"/>
        <w:gridCol w:w="194"/>
        <w:gridCol w:w="958"/>
        <w:gridCol w:w="816"/>
        <w:gridCol w:w="344"/>
        <w:gridCol w:w="820"/>
        <w:gridCol w:w="958"/>
        <w:gridCol w:w="240"/>
      </w:tblGrid>
      <w:tr>
        <w:tblPrEx>
          <w:tblCellMar>
            <w:top w:w="0" w:type="dxa"/>
            <w:left w:w="108" w:type="dxa"/>
            <w:bottom w:w="0" w:type="dxa"/>
            <w:right w:w="108" w:type="dxa"/>
          </w:tblCellMar>
        </w:tblPrEx>
        <w:trPr>
          <w:trHeight w:val="90" w:hRule="atLeast"/>
        </w:trPr>
        <w:tc>
          <w:tcPr>
            <w:tcW w:w="10258" w:type="dxa"/>
            <w:gridSpan w:val="14"/>
            <w:tcBorders>
              <w:top w:val="nil"/>
              <w:left w:val="nil"/>
              <w:bottom w:val="nil"/>
              <w:right w:val="nil"/>
            </w:tcBorders>
            <w:shd w:val="clear" w:color="auto" w:fill="auto"/>
            <w:vAlign w:val="center"/>
          </w:tcPr>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10258" w:type="dxa"/>
            <w:gridSpan w:val="14"/>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2021</w:t>
            </w:r>
            <w:r>
              <w:rPr>
                <w:rFonts w:ascii="Times New Roman" w:hAnsi="Times New Roman" w:eastAsia="宋体" w:cs="Times New Roman"/>
                <w:kern w:val="0"/>
                <w:sz w:val="24"/>
              </w:rPr>
              <w:t xml:space="preserve"> </w:t>
            </w:r>
            <w:r>
              <w:rPr>
                <w:rFonts w:hint="eastAsia" w:ascii="宋体" w:hAnsi="宋体" w:eastAsia="宋体" w:cs="宋体"/>
                <w:kern w:val="0"/>
                <w:sz w:val="24"/>
              </w:rPr>
              <w:t>年度）</w:t>
            </w:r>
          </w:p>
        </w:tc>
      </w:tr>
      <w:tr>
        <w:tblPrEx>
          <w:tblCellMar>
            <w:top w:w="0" w:type="dxa"/>
            <w:left w:w="108" w:type="dxa"/>
            <w:bottom w:w="0" w:type="dxa"/>
            <w:right w:w="108" w:type="dxa"/>
          </w:tblCellMar>
        </w:tblPrEx>
        <w:trPr>
          <w:gridAfter w:val="1"/>
          <w:wAfter w:w="240" w:type="dxa"/>
          <w:trHeight w:val="285" w:hRule="atLeast"/>
        </w:trPr>
        <w:tc>
          <w:tcPr>
            <w:tcW w:w="79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0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48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76"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3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431"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5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60"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1778"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99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826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喀拉托海镇文教　</w:t>
            </w:r>
          </w:p>
        </w:tc>
      </w:tr>
      <w:tr>
        <w:tblPrEx>
          <w:tblCellMar>
            <w:top w:w="0" w:type="dxa"/>
            <w:left w:w="108" w:type="dxa"/>
            <w:bottom w:w="0" w:type="dxa"/>
            <w:right w:w="108" w:type="dxa"/>
          </w:tblCellMar>
        </w:tblPrEx>
        <w:trPr>
          <w:trHeight w:val="285" w:hRule="atLeast"/>
        </w:trPr>
        <w:tc>
          <w:tcPr>
            <w:tcW w:w="7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120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1726"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336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3178"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726"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总额</w:t>
            </w:r>
          </w:p>
        </w:tc>
        <w:tc>
          <w:tcPr>
            <w:tcW w:w="1272"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财政拨款</w:t>
            </w:r>
          </w:p>
        </w:tc>
        <w:tc>
          <w:tcPr>
            <w:tcW w:w="1152"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其他资金</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总额</w:t>
            </w:r>
          </w:p>
        </w:tc>
        <w:tc>
          <w:tcPr>
            <w:tcW w:w="116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财政拨款</w:t>
            </w:r>
          </w:p>
        </w:tc>
        <w:tc>
          <w:tcPr>
            <w:tcW w:w="1198"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其他资金</w:t>
            </w:r>
          </w:p>
        </w:tc>
      </w:tr>
      <w:tr>
        <w:tblPrEx>
          <w:tblCellMar>
            <w:top w:w="0" w:type="dxa"/>
            <w:left w:w="108" w:type="dxa"/>
            <w:bottom w:w="0" w:type="dxa"/>
            <w:right w:w="108" w:type="dxa"/>
          </w:tblCellMar>
        </w:tblPrEx>
        <w:trPr>
          <w:trHeight w:val="1980"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rPr>
            </w:pPr>
            <w:r>
              <w:rPr>
                <w:rFonts w:hint="eastAsia" w:ascii="宋体" w:hAnsi="宋体" w:eastAsia="宋体" w:cs="宋体"/>
                <w:i w:val="0"/>
                <w:iCs w:val="0"/>
                <w:color w:val="000000"/>
                <w:kern w:val="0"/>
                <w:sz w:val="16"/>
                <w:szCs w:val="16"/>
                <w:u w:val="none"/>
                <w:lang w:val="en-US" w:eastAsia="zh-CN" w:bidi="ar"/>
              </w:rPr>
              <w:t>人员保障</w:t>
            </w:r>
          </w:p>
        </w:tc>
        <w:tc>
          <w:tcPr>
            <w:tcW w:w="1726" w:type="dxa"/>
            <w:gridSpan w:val="2"/>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kern w:val="0"/>
                <w:sz w:val="16"/>
                <w:szCs w:val="16"/>
              </w:rPr>
            </w:pPr>
            <w:r>
              <w:rPr>
                <w:rFonts w:hint="eastAsia" w:ascii="仿宋" w:hAnsi="仿宋" w:eastAsia="仿宋" w:cs="仿宋"/>
                <w:i w:val="0"/>
                <w:iCs w:val="0"/>
                <w:color w:val="000000"/>
                <w:kern w:val="0"/>
                <w:sz w:val="16"/>
                <w:szCs w:val="16"/>
                <w:u w:val="none"/>
                <w:lang w:val="en-US" w:eastAsia="zh-CN" w:bidi="ar"/>
              </w:rPr>
              <w:t>保障单位职工工资、津补贴、社保、住房等工资性福利支出，各学校日常经费等商品服务类支出，以及对个人和家庭补助保障。</w:t>
            </w:r>
          </w:p>
        </w:tc>
        <w:tc>
          <w:tcPr>
            <w:tcW w:w="93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2404.33</w:t>
            </w:r>
          </w:p>
        </w:tc>
        <w:tc>
          <w:tcPr>
            <w:tcW w:w="127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2404.33</w:t>
            </w:r>
          </w:p>
        </w:tc>
        <w:tc>
          <w:tcPr>
            <w:tcW w:w="115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c>
          <w:tcPr>
            <w:tcW w:w="8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16"/>
                <w:szCs w:val="16"/>
                <w:u w:val="none"/>
                <w:lang w:val="en-US" w:eastAsia="zh-CN" w:bidi="ar"/>
              </w:rPr>
              <w:t>2404.33</w:t>
            </w:r>
          </w:p>
        </w:tc>
        <w:tc>
          <w:tcPr>
            <w:tcW w:w="116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2404.33</w:t>
            </w:r>
          </w:p>
        </w:tc>
        <w:tc>
          <w:tcPr>
            <w:tcW w:w="119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92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金额合计</w:t>
            </w:r>
          </w:p>
        </w:tc>
        <w:tc>
          <w:tcPr>
            <w:tcW w:w="93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2404.33</w:t>
            </w:r>
          </w:p>
        </w:tc>
        <w:tc>
          <w:tcPr>
            <w:tcW w:w="127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2404.33</w:t>
            </w:r>
          </w:p>
        </w:tc>
        <w:tc>
          <w:tcPr>
            <w:tcW w:w="115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c>
          <w:tcPr>
            <w:tcW w:w="81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2404.33</w:t>
            </w:r>
          </w:p>
        </w:tc>
        <w:tc>
          <w:tcPr>
            <w:tcW w:w="116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2404.33</w:t>
            </w:r>
          </w:p>
        </w:tc>
        <w:tc>
          <w:tcPr>
            <w:tcW w:w="119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285" w:hRule="atLeast"/>
        </w:trPr>
        <w:tc>
          <w:tcPr>
            <w:tcW w:w="7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863"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5602"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1697" w:hRule="atLeast"/>
        </w:trPr>
        <w:tc>
          <w:tcPr>
            <w:tcW w:w="7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86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目标1：全面推进各类教师能力提升培训，加强教师队伍建设，好教育教学管理工作。目标2：确保人员经费的合理分配。目标3：完成在职教师工资发放、按时完成社保、公积金缴纳。目标4：及时完成退休教师取暖费、计生奖励金目发放。目标5：完成每年教学任务。</w:t>
            </w:r>
          </w:p>
        </w:tc>
        <w:tc>
          <w:tcPr>
            <w:tcW w:w="5602" w:type="dxa"/>
            <w:gridSpan w:val="9"/>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目标1：全面推进各类教师能力提升培训，加强教师队伍建设，好教育教学管理工作。目标2：确保人员经费的合理分配。目标3：完成在职教师工资发放、按时完成社保、公积金缴纳。目标4：及时完成退休教师取暖费、计生奖励金目发放。目标5：完成每年教学任</w:t>
            </w:r>
            <w:r>
              <w:rPr>
                <w:rStyle w:val="29"/>
                <w:sz w:val="16"/>
                <w:szCs w:val="16"/>
                <w:lang w:val="en-US" w:eastAsia="zh-CN" w:bidi="ar"/>
              </w:rPr>
              <w:t>务。</w:t>
            </w:r>
          </w:p>
        </w:tc>
      </w:tr>
      <w:tr>
        <w:tblPrEx>
          <w:tblCellMar>
            <w:top w:w="0" w:type="dxa"/>
            <w:left w:w="108" w:type="dxa"/>
            <w:bottom w:w="0" w:type="dxa"/>
            <w:right w:w="108" w:type="dxa"/>
          </w:tblCellMar>
        </w:tblPrEx>
        <w:trPr>
          <w:trHeight w:val="885" w:hRule="atLeast"/>
        </w:trPr>
        <w:tc>
          <w:tcPr>
            <w:tcW w:w="7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12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72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2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968"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236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72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在职人员数</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=222人</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222人</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退休人员数</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=95人</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95人</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人员工资发放、社保缴纳准确性</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时效指标</w:t>
            </w: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人员工资发放、社保缴纳及时性</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成本指标</w:t>
            </w: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工资、社保、住房等人均支出标准</w:t>
            </w:r>
          </w:p>
        </w:tc>
        <w:tc>
          <w:tcPr>
            <w:tcW w:w="1968" w:type="dxa"/>
            <w:gridSpan w:val="3"/>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≤10.74万元/人/年</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10.74万元/人/年</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退休人员计生奖励人均支出标准</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≤0.12万元/人/年</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0.12万元/人/年</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取暖费人均支出标准</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≤0.13万元/人/年</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0.13万元/人/年</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遗属补助人均支出标准</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≤0.44万元/人/年</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0.44万元/人/年</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保证教学任务及时完成</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有效保证</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有效保证</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保证教师队伍稳定</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有效保证</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有效保证</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指标</w:t>
            </w:r>
          </w:p>
        </w:tc>
        <w:tc>
          <w:tcPr>
            <w:tcW w:w="172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满意度指标</w:t>
            </w: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教师满意度</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≥95%</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95%</w:t>
            </w:r>
          </w:p>
        </w:tc>
      </w:tr>
      <w:tr>
        <w:tblPrEx>
          <w:tblCellMar>
            <w:top w:w="0" w:type="dxa"/>
            <w:left w:w="108" w:type="dxa"/>
            <w:bottom w:w="0" w:type="dxa"/>
            <w:right w:w="108" w:type="dxa"/>
          </w:tblCellMar>
        </w:tblPrEx>
        <w:trPr>
          <w:trHeight w:val="285" w:hRule="atLeast"/>
        </w:trPr>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1726" w:type="dxa"/>
            <w:gridSpan w:val="2"/>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20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退休教师满意度</w:t>
            </w:r>
          </w:p>
        </w:tc>
        <w:tc>
          <w:tcPr>
            <w:tcW w:w="196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≥95%</w:t>
            </w:r>
          </w:p>
        </w:tc>
        <w:tc>
          <w:tcPr>
            <w:tcW w:w="236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abstractNum w:abstractNumId="1">
    <w:nsid w:val="610B1819"/>
    <w:multiLevelType w:val="singleLevel"/>
    <w:tmpl w:val="610B1819"/>
    <w:lvl w:ilvl="0" w:tentative="0">
      <w:start w:val="3"/>
      <w:numFmt w:val="decimal"/>
      <w:suff w:val="nothing"/>
      <w:lvlText w:val="%1、"/>
      <w:lvlJc w:val="left"/>
    </w:lvl>
  </w:abstractNum>
  <w:abstractNum w:abstractNumId="2">
    <w:nsid w:val="7A55157A"/>
    <w:multiLevelType w:val="singleLevel"/>
    <w:tmpl w:val="7A55157A"/>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5A4817"/>
    <w:rsid w:val="02B66141"/>
    <w:rsid w:val="04A77B1E"/>
    <w:rsid w:val="0A2F0DBE"/>
    <w:rsid w:val="0E9A5E97"/>
    <w:rsid w:val="11E51DB6"/>
    <w:rsid w:val="131722C1"/>
    <w:rsid w:val="14074B59"/>
    <w:rsid w:val="17D43DD2"/>
    <w:rsid w:val="1EB60E4D"/>
    <w:rsid w:val="1F49071C"/>
    <w:rsid w:val="231057D9"/>
    <w:rsid w:val="25D30703"/>
    <w:rsid w:val="302F7EC5"/>
    <w:rsid w:val="36AD0F63"/>
    <w:rsid w:val="3AAB60D8"/>
    <w:rsid w:val="3DC41EA4"/>
    <w:rsid w:val="40692574"/>
    <w:rsid w:val="4097295C"/>
    <w:rsid w:val="41792F79"/>
    <w:rsid w:val="422A38E4"/>
    <w:rsid w:val="43B27D8E"/>
    <w:rsid w:val="456B2161"/>
    <w:rsid w:val="46E46CF4"/>
    <w:rsid w:val="487738FD"/>
    <w:rsid w:val="4F515E7A"/>
    <w:rsid w:val="52D02FCF"/>
    <w:rsid w:val="53241D2D"/>
    <w:rsid w:val="53EC0D4F"/>
    <w:rsid w:val="5C5026B5"/>
    <w:rsid w:val="5F5275BE"/>
    <w:rsid w:val="5F896D86"/>
    <w:rsid w:val="62D0246E"/>
    <w:rsid w:val="641F0FAA"/>
    <w:rsid w:val="692F67D8"/>
    <w:rsid w:val="74CD5392"/>
    <w:rsid w:val="79210E86"/>
    <w:rsid w:val="7E415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character" w:customStyle="1" w:styleId="29">
    <w:name w:val="font21"/>
    <w:basedOn w:val="15"/>
    <w:qFormat/>
    <w:uiPriority w:val="0"/>
    <w:rPr>
      <w:rFonts w:hint="eastAsia" w:ascii="宋体" w:hAnsi="宋体" w:eastAsia="宋体" w:cs="宋体"/>
      <w:color w:val="000000"/>
      <w:sz w:val="20"/>
      <w:szCs w:val="20"/>
      <w:u w:val="none"/>
    </w:rPr>
  </w:style>
  <w:style w:type="paragraph" w:customStyle="1" w:styleId="30">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6381</Words>
  <Characters>6880</Characters>
  <Lines>72</Lines>
  <Paragraphs>20</Paragraphs>
  <TotalTime>4</TotalTime>
  <ScaleCrop>false</ScaleCrop>
  <LinksUpToDate>false</LinksUpToDate>
  <CharactersWithSpaces>6939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2022-05-26T04:44:53Z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A3BA1F0193AB4F9EB6BF341153BA96BB</vt:lpwstr>
  </property>
</Properties>
</file>